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F0E" w:rsidRDefault="007435EE" w:rsidP="00942339">
      <w:pPr>
        <w:jc w:val="both"/>
        <w:rPr>
          <w:rFonts w:ascii="Times New Roman" w:hAnsi="Times New Roman" w:cs="Times New Roman"/>
          <w:b/>
          <w:sz w:val="24"/>
        </w:rPr>
      </w:pPr>
      <w:r>
        <w:rPr>
          <w:rFonts w:ascii="Times New Roman" w:hAnsi="Times New Roman" w:cs="Times New Roman"/>
          <w:b/>
          <w:sz w:val="24"/>
        </w:rPr>
        <w:t xml:space="preserve">Prescribing Information for </w:t>
      </w:r>
      <w:proofErr w:type="spellStart"/>
      <w:r>
        <w:rPr>
          <w:rFonts w:ascii="Times New Roman" w:hAnsi="Times New Roman" w:cs="Times New Roman"/>
          <w:b/>
          <w:sz w:val="24"/>
        </w:rPr>
        <w:t>Angitil</w:t>
      </w:r>
      <w:proofErr w:type="spellEnd"/>
      <w:r>
        <w:rPr>
          <w:rFonts w:ascii="Times New Roman" w:hAnsi="Times New Roman" w:cs="Times New Roman"/>
          <w:b/>
          <w:sz w:val="24"/>
        </w:rPr>
        <w:t xml:space="preserve"> (Diltiazem</w:t>
      </w:r>
      <w:r w:rsidR="00AF3969">
        <w:rPr>
          <w:rFonts w:ascii="Times New Roman" w:hAnsi="Times New Roman" w:cs="Times New Roman"/>
          <w:b/>
          <w:sz w:val="24"/>
        </w:rPr>
        <w:t xml:space="preserve"> hydrochloride</w:t>
      </w:r>
      <w:r>
        <w:rPr>
          <w:rFonts w:ascii="Times New Roman" w:hAnsi="Times New Roman" w:cs="Times New Roman"/>
          <w:b/>
          <w:sz w:val="24"/>
        </w:rPr>
        <w:t>) SR 90mg, 120mg and 180mg and</w:t>
      </w:r>
      <w:r w:rsidR="00AF3969">
        <w:rPr>
          <w:rFonts w:ascii="Times New Roman" w:hAnsi="Times New Roman" w:cs="Times New Roman"/>
          <w:b/>
          <w:sz w:val="24"/>
        </w:rPr>
        <w:t xml:space="preserve"> </w:t>
      </w:r>
      <w:proofErr w:type="spellStart"/>
      <w:r w:rsidR="00AF3969">
        <w:rPr>
          <w:rFonts w:ascii="Times New Roman" w:hAnsi="Times New Roman" w:cs="Times New Roman"/>
          <w:b/>
          <w:sz w:val="24"/>
        </w:rPr>
        <w:t>Angitil</w:t>
      </w:r>
      <w:proofErr w:type="spellEnd"/>
      <w:r>
        <w:rPr>
          <w:rFonts w:ascii="Times New Roman" w:hAnsi="Times New Roman" w:cs="Times New Roman"/>
          <w:b/>
          <w:sz w:val="24"/>
        </w:rPr>
        <w:t xml:space="preserve"> XL 240mg and 300mg</w:t>
      </w:r>
      <w:r w:rsidR="00AF3969">
        <w:rPr>
          <w:rFonts w:ascii="Times New Roman" w:hAnsi="Times New Roman" w:cs="Times New Roman"/>
          <w:b/>
          <w:sz w:val="24"/>
        </w:rPr>
        <w:t xml:space="preserve"> capsules</w:t>
      </w:r>
    </w:p>
    <w:p w:rsidR="007435EE" w:rsidRDefault="007435EE" w:rsidP="00942339">
      <w:pPr>
        <w:jc w:val="both"/>
        <w:rPr>
          <w:rFonts w:ascii="Times New Roman" w:hAnsi="Times New Roman" w:cs="Times New Roman"/>
          <w:b/>
          <w:sz w:val="24"/>
        </w:rPr>
      </w:pPr>
    </w:p>
    <w:p w:rsidR="007435EE" w:rsidRDefault="007435EE" w:rsidP="00942339">
      <w:pPr>
        <w:jc w:val="both"/>
        <w:rPr>
          <w:rFonts w:ascii="Times New Roman" w:hAnsi="Times New Roman" w:cs="Times New Roman"/>
          <w:b/>
          <w:sz w:val="24"/>
        </w:rPr>
      </w:pPr>
      <w:r>
        <w:rPr>
          <w:rFonts w:ascii="Times New Roman" w:hAnsi="Times New Roman" w:cs="Times New Roman"/>
          <w:b/>
          <w:sz w:val="24"/>
        </w:rPr>
        <w:t>See Summary of Product Characteristics (SPC) before prescribing.</w:t>
      </w:r>
    </w:p>
    <w:p w:rsidR="00552C6B" w:rsidRDefault="007435EE" w:rsidP="00552C6B">
      <w:pPr>
        <w:jc w:val="both"/>
        <w:rPr>
          <w:rFonts w:ascii="Times New Roman" w:hAnsi="Times New Roman" w:cs="Times New Roman"/>
          <w:b/>
          <w:sz w:val="24"/>
        </w:rPr>
      </w:pPr>
      <w:r>
        <w:rPr>
          <w:rFonts w:ascii="Times New Roman" w:hAnsi="Times New Roman" w:cs="Times New Roman"/>
          <w:b/>
          <w:sz w:val="24"/>
        </w:rPr>
        <w:t>Presentation:</w:t>
      </w:r>
      <w:r>
        <w:rPr>
          <w:rFonts w:ascii="Times New Roman" w:hAnsi="Times New Roman" w:cs="Times New Roman"/>
          <w:sz w:val="24"/>
        </w:rPr>
        <w:t xml:space="preserve"> </w:t>
      </w:r>
      <w:r w:rsidR="006B2B16">
        <w:rPr>
          <w:rFonts w:ascii="Times New Roman" w:hAnsi="Times New Roman" w:cs="Times New Roman"/>
          <w:sz w:val="24"/>
        </w:rPr>
        <w:t xml:space="preserve">Available in a range of doses. </w:t>
      </w:r>
      <w:r w:rsidR="00AF3969">
        <w:rPr>
          <w:rFonts w:ascii="Times New Roman" w:hAnsi="Times New Roman" w:cs="Times New Roman"/>
          <w:sz w:val="24"/>
        </w:rPr>
        <w:t xml:space="preserve">Prolonged </w:t>
      </w:r>
      <w:r w:rsidR="006B2B16">
        <w:rPr>
          <w:rFonts w:ascii="Times New Roman" w:hAnsi="Times New Roman" w:cs="Times New Roman"/>
          <w:sz w:val="24"/>
        </w:rPr>
        <w:t>release capsules containing 90</w:t>
      </w:r>
      <w:r w:rsidR="00AF3969">
        <w:rPr>
          <w:rFonts w:ascii="Times New Roman" w:hAnsi="Times New Roman" w:cs="Times New Roman"/>
          <w:sz w:val="24"/>
        </w:rPr>
        <w:t>mg</w:t>
      </w:r>
      <w:r w:rsidR="006B2B16">
        <w:rPr>
          <w:rFonts w:ascii="Times New Roman" w:hAnsi="Times New Roman" w:cs="Times New Roman"/>
          <w:sz w:val="24"/>
        </w:rPr>
        <w:t>, 120</w:t>
      </w:r>
      <w:r w:rsidR="00AF3969">
        <w:rPr>
          <w:rFonts w:ascii="Times New Roman" w:hAnsi="Times New Roman" w:cs="Times New Roman"/>
          <w:sz w:val="24"/>
        </w:rPr>
        <w:t xml:space="preserve">mg, </w:t>
      </w:r>
      <w:r w:rsidR="006B2B16">
        <w:rPr>
          <w:rFonts w:ascii="Times New Roman" w:hAnsi="Times New Roman" w:cs="Times New Roman"/>
          <w:sz w:val="24"/>
        </w:rPr>
        <w:t>180 mg</w:t>
      </w:r>
      <w:r w:rsidR="00AF3969">
        <w:rPr>
          <w:rFonts w:ascii="Times New Roman" w:hAnsi="Times New Roman" w:cs="Times New Roman"/>
          <w:sz w:val="24"/>
        </w:rPr>
        <w:t>,</w:t>
      </w:r>
      <w:r w:rsidR="006B2B16">
        <w:rPr>
          <w:rFonts w:ascii="Times New Roman" w:hAnsi="Times New Roman" w:cs="Times New Roman"/>
          <w:sz w:val="24"/>
        </w:rPr>
        <w:t xml:space="preserve"> 240 mg or 300 mg diltiazem hydrochloride. </w:t>
      </w:r>
      <w:r w:rsidR="006B2B16">
        <w:rPr>
          <w:rFonts w:ascii="Times New Roman" w:hAnsi="Times New Roman" w:cs="Times New Roman"/>
          <w:b/>
          <w:sz w:val="24"/>
        </w:rPr>
        <w:t>Indications:</w:t>
      </w:r>
      <w:r w:rsidR="006B2B16">
        <w:rPr>
          <w:rFonts w:ascii="Times New Roman" w:hAnsi="Times New Roman" w:cs="Times New Roman"/>
          <w:sz w:val="24"/>
        </w:rPr>
        <w:t xml:space="preserve"> For the management of angina pectoris. For management of mild to moderate hypertension. </w:t>
      </w:r>
      <w:r w:rsidR="006B2B16">
        <w:rPr>
          <w:rFonts w:ascii="Times New Roman" w:hAnsi="Times New Roman" w:cs="Times New Roman"/>
          <w:b/>
          <w:sz w:val="24"/>
        </w:rPr>
        <w:t>Dosage:</w:t>
      </w:r>
      <w:r w:rsidR="006B2B16">
        <w:rPr>
          <w:rFonts w:ascii="Times New Roman" w:hAnsi="Times New Roman" w:cs="Times New Roman"/>
          <w:sz w:val="24"/>
        </w:rPr>
        <w:t xml:space="preserve"> </w:t>
      </w:r>
      <w:r w:rsidR="00DD1183">
        <w:rPr>
          <w:rFonts w:ascii="Times New Roman" w:hAnsi="Times New Roman" w:cs="Times New Roman"/>
          <w:b/>
          <w:sz w:val="24"/>
        </w:rPr>
        <w:t xml:space="preserve">Refer to SPC for details and recommendations. </w:t>
      </w:r>
      <w:r w:rsidR="00203A2E">
        <w:rPr>
          <w:rFonts w:ascii="Times New Roman" w:hAnsi="Times New Roman" w:cs="Times New Roman"/>
          <w:sz w:val="24"/>
        </w:rPr>
        <w:t xml:space="preserve">For oral use, with or without food. The capsules should be swallowed whole and not chewed. </w:t>
      </w:r>
      <w:proofErr w:type="spellStart"/>
      <w:r w:rsidR="00AF00F5">
        <w:rPr>
          <w:rFonts w:ascii="Times New Roman" w:hAnsi="Times New Roman" w:cs="Times New Roman"/>
          <w:sz w:val="24"/>
        </w:rPr>
        <w:t>Angitil</w:t>
      </w:r>
      <w:proofErr w:type="spellEnd"/>
      <w:r w:rsidR="00AF00F5">
        <w:rPr>
          <w:rFonts w:ascii="Times New Roman" w:hAnsi="Times New Roman" w:cs="Times New Roman"/>
          <w:sz w:val="24"/>
        </w:rPr>
        <w:t xml:space="preserve"> SR capsules are taken twice daily and </w:t>
      </w:r>
      <w:proofErr w:type="spellStart"/>
      <w:r w:rsidR="00AF00F5">
        <w:rPr>
          <w:rFonts w:ascii="Times New Roman" w:hAnsi="Times New Roman" w:cs="Times New Roman"/>
          <w:sz w:val="24"/>
        </w:rPr>
        <w:t>Angitil</w:t>
      </w:r>
      <w:proofErr w:type="spellEnd"/>
      <w:r w:rsidR="00AF00F5">
        <w:rPr>
          <w:rFonts w:ascii="Times New Roman" w:hAnsi="Times New Roman" w:cs="Times New Roman"/>
          <w:sz w:val="24"/>
        </w:rPr>
        <w:t xml:space="preserve"> XL capsules are </w:t>
      </w:r>
      <w:r w:rsidR="002000AD">
        <w:rPr>
          <w:rFonts w:ascii="Times New Roman" w:hAnsi="Times New Roman" w:cs="Times New Roman"/>
          <w:sz w:val="24"/>
        </w:rPr>
        <w:t xml:space="preserve">taken once daily. </w:t>
      </w:r>
      <w:r w:rsidR="002000AD">
        <w:rPr>
          <w:rFonts w:ascii="Times New Roman" w:hAnsi="Times New Roman" w:cs="Times New Roman"/>
          <w:i/>
          <w:sz w:val="24"/>
        </w:rPr>
        <w:t>Adults:</w:t>
      </w:r>
      <w:r w:rsidR="00AB0E7D">
        <w:rPr>
          <w:rFonts w:ascii="Times New Roman" w:hAnsi="Times New Roman" w:cs="Times New Roman"/>
          <w:i/>
          <w:sz w:val="24"/>
        </w:rPr>
        <w:t xml:space="preserve"> </w:t>
      </w:r>
      <w:r w:rsidR="00AB0E7D">
        <w:rPr>
          <w:rFonts w:ascii="Times New Roman" w:hAnsi="Times New Roman" w:cs="Times New Roman"/>
          <w:sz w:val="24"/>
        </w:rPr>
        <w:t xml:space="preserve">The usual initial dose is </w:t>
      </w:r>
      <w:r w:rsidR="002A01FA">
        <w:rPr>
          <w:rFonts w:ascii="Times New Roman" w:hAnsi="Times New Roman" w:cs="Times New Roman"/>
          <w:sz w:val="24"/>
        </w:rPr>
        <w:t xml:space="preserve">90 mg twice daily, to be increased gradually to 120 or 180 mg twice daily if required. </w:t>
      </w:r>
      <w:r w:rsidR="00556590">
        <w:rPr>
          <w:rFonts w:ascii="Times New Roman" w:hAnsi="Times New Roman" w:cs="Times New Roman"/>
          <w:sz w:val="24"/>
        </w:rPr>
        <w:t xml:space="preserve">Patients currently receiving a total daily dose of 180 mg diltiazem </w:t>
      </w:r>
      <w:r w:rsidR="00AF3969">
        <w:rPr>
          <w:rFonts w:ascii="Times New Roman" w:hAnsi="Times New Roman" w:cs="Times New Roman"/>
          <w:sz w:val="24"/>
        </w:rPr>
        <w:t xml:space="preserve">(as 90mg </w:t>
      </w:r>
      <w:r w:rsidR="00AF3969" w:rsidRPr="00C31E62">
        <w:rPr>
          <w:rFonts w:ascii="Times New Roman" w:hAnsi="Times New Roman" w:cs="Times New Roman"/>
          <w:i/>
          <w:sz w:val="24"/>
        </w:rPr>
        <w:t>bd</w:t>
      </w:r>
      <w:r w:rsidR="00AF3969">
        <w:rPr>
          <w:rFonts w:ascii="Times New Roman" w:hAnsi="Times New Roman" w:cs="Times New Roman"/>
          <w:sz w:val="24"/>
        </w:rPr>
        <w:t xml:space="preserve">) </w:t>
      </w:r>
      <w:r w:rsidR="00556590" w:rsidRPr="00AF3969">
        <w:rPr>
          <w:rFonts w:ascii="Times New Roman" w:hAnsi="Times New Roman" w:cs="Times New Roman"/>
          <w:sz w:val="24"/>
        </w:rPr>
        <w:t>may</w:t>
      </w:r>
      <w:r w:rsidR="00556590">
        <w:rPr>
          <w:rFonts w:ascii="Times New Roman" w:hAnsi="Times New Roman" w:cs="Times New Roman"/>
          <w:sz w:val="24"/>
        </w:rPr>
        <w:t xml:space="preserve"> be titrated up to 240 mg</w:t>
      </w:r>
      <w:r w:rsidR="00AF3969">
        <w:rPr>
          <w:rFonts w:ascii="Times New Roman" w:hAnsi="Times New Roman" w:cs="Times New Roman"/>
          <w:sz w:val="24"/>
        </w:rPr>
        <w:t xml:space="preserve"> (</w:t>
      </w:r>
      <w:r w:rsidR="00AF3969">
        <w:rPr>
          <w:rFonts w:ascii="Times New Roman" w:hAnsi="Times New Roman" w:cs="Times New Roman"/>
          <w:i/>
          <w:sz w:val="24"/>
        </w:rPr>
        <w:t>od</w:t>
      </w:r>
      <w:r w:rsidR="00AF3969">
        <w:rPr>
          <w:rFonts w:ascii="Times New Roman" w:hAnsi="Times New Roman" w:cs="Times New Roman"/>
          <w:sz w:val="24"/>
        </w:rPr>
        <w:t>)</w:t>
      </w:r>
      <w:r w:rsidR="00556590">
        <w:rPr>
          <w:rFonts w:ascii="Times New Roman" w:hAnsi="Times New Roman" w:cs="Times New Roman"/>
          <w:sz w:val="24"/>
        </w:rPr>
        <w:t xml:space="preserve">, and patients receiving 240 mg diltiazem </w:t>
      </w:r>
      <w:r w:rsidR="00AF3969">
        <w:rPr>
          <w:rFonts w:ascii="Times New Roman" w:hAnsi="Times New Roman" w:cs="Times New Roman"/>
          <w:sz w:val="24"/>
        </w:rPr>
        <w:t xml:space="preserve">(as 120mg </w:t>
      </w:r>
      <w:r w:rsidR="00AF3969" w:rsidRPr="00C31E62">
        <w:rPr>
          <w:rFonts w:ascii="Times New Roman" w:hAnsi="Times New Roman" w:cs="Times New Roman"/>
          <w:i/>
          <w:sz w:val="24"/>
        </w:rPr>
        <w:t>bd</w:t>
      </w:r>
      <w:r w:rsidR="00AF3969">
        <w:rPr>
          <w:rFonts w:ascii="Times New Roman" w:hAnsi="Times New Roman" w:cs="Times New Roman"/>
          <w:sz w:val="24"/>
        </w:rPr>
        <w:t xml:space="preserve">) </w:t>
      </w:r>
      <w:r w:rsidR="00556590" w:rsidRPr="00C31E62">
        <w:rPr>
          <w:rFonts w:ascii="Times New Roman" w:hAnsi="Times New Roman" w:cs="Times New Roman"/>
          <w:sz w:val="24"/>
        </w:rPr>
        <w:t>should</w:t>
      </w:r>
      <w:r w:rsidR="00556590">
        <w:rPr>
          <w:rFonts w:ascii="Times New Roman" w:hAnsi="Times New Roman" w:cs="Times New Roman"/>
          <w:sz w:val="24"/>
        </w:rPr>
        <w:t xml:space="preserve"> commence </w:t>
      </w:r>
      <w:r w:rsidR="00556590" w:rsidRPr="003E5B6B">
        <w:rPr>
          <w:rFonts w:ascii="Times New Roman" w:hAnsi="Times New Roman" w:cs="Times New Roman"/>
          <w:sz w:val="24"/>
        </w:rPr>
        <w:t>treatment on the 240 mg capsule</w:t>
      </w:r>
      <w:r w:rsidR="00AF3969">
        <w:rPr>
          <w:rFonts w:ascii="Times New Roman" w:hAnsi="Times New Roman" w:cs="Times New Roman"/>
          <w:sz w:val="24"/>
        </w:rPr>
        <w:t xml:space="preserve"> (</w:t>
      </w:r>
      <w:r w:rsidR="00AF3969" w:rsidRPr="00C31E62">
        <w:rPr>
          <w:rFonts w:ascii="Times New Roman" w:hAnsi="Times New Roman" w:cs="Times New Roman"/>
          <w:i/>
          <w:sz w:val="24"/>
        </w:rPr>
        <w:t>od</w:t>
      </w:r>
      <w:r w:rsidR="00AF3969">
        <w:rPr>
          <w:rFonts w:ascii="Times New Roman" w:hAnsi="Times New Roman" w:cs="Times New Roman"/>
          <w:sz w:val="24"/>
        </w:rPr>
        <w:t>)</w:t>
      </w:r>
      <w:r w:rsidR="00556590" w:rsidRPr="003E5B6B">
        <w:rPr>
          <w:rFonts w:ascii="Times New Roman" w:hAnsi="Times New Roman" w:cs="Times New Roman"/>
          <w:sz w:val="24"/>
        </w:rPr>
        <w:t>, titrating to 300 mg</w:t>
      </w:r>
      <w:r w:rsidR="00AF3969">
        <w:rPr>
          <w:rFonts w:ascii="Times New Roman" w:hAnsi="Times New Roman" w:cs="Times New Roman"/>
          <w:sz w:val="24"/>
        </w:rPr>
        <w:t xml:space="preserve"> (</w:t>
      </w:r>
      <w:r w:rsidR="00AF3969">
        <w:rPr>
          <w:rFonts w:ascii="Times New Roman" w:hAnsi="Times New Roman" w:cs="Times New Roman"/>
          <w:i/>
          <w:sz w:val="24"/>
        </w:rPr>
        <w:t>od</w:t>
      </w:r>
      <w:r w:rsidR="00AF3969" w:rsidRPr="00C31E62">
        <w:rPr>
          <w:rFonts w:ascii="Times New Roman" w:hAnsi="Times New Roman" w:cs="Times New Roman"/>
          <w:sz w:val="24"/>
        </w:rPr>
        <w:t>)</w:t>
      </w:r>
      <w:r w:rsidR="00556590" w:rsidRPr="003E5B6B">
        <w:rPr>
          <w:rFonts w:ascii="Times New Roman" w:hAnsi="Times New Roman" w:cs="Times New Roman"/>
          <w:sz w:val="24"/>
        </w:rPr>
        <w:t xml:space="preserve"> when necessary. </w:t>
      </w:r>
      <w:r w:rsidR="00556590" w:rsidRPr="003E5B6B">
        <w:rPr>
          <w:rFonts w:ascii="Times New Roman" w:hAnsi="Times New Roman" w:cs="Times New Roman"/>
          <w:i/>
          <w:sz w:val="24"/>
        </w:rPr>
        <w:t xml:space="preserve">Elderly and patients with impaired renal or hepatic dysfunction: </w:t>
      </w:r>
      <w:r w:rsidR="00DD1183" w:rsidRPr="003E5B6B">
        <w:rPr>
          <w:rFonts w:ascii="Times New Roman" w:hAnsi="Times New Roman" w:cs="Times New Roman"/>
          <w:sz w:val="24"/>
        </w:rPr>
        <w:t xml:space="preserve">Starting dose should be 60 mg twice daily. Dose may be increased gradually, but careful monitoring is advised. </w:t>
      </w:r>
      <w:r w:rsidR="00DD1183" w:rsidRPr="003E5B6B">
        <w:rPr>
          <w:rFonts w:ascii="Times New Roman" w:hAnsi="Times New Roman" w:cs="Times New Roman"/>
          <w:i/>
          <w:sz w:val="24"/>
        </w:rPr>
        <w:t>Paediatric population:</w:t>
      </w:r>
      <w:r w:rsidR="00DD1183" w:rsidRPr="003E5B6B">
        <w:rPr>
          <w:rFonts w:ascii="Times New Roman" w:hAnsi="Times New Roman" w:cs="Times New Roman"/>
          <w:sz w:val="24"/>
        </w:rPr>
        <w:t xml:space="preserve"> Not recommended. </w:t>
      </w:r>
      <w:r w:rsidR="00DD1183" w:rsidRPr="003E5B6B">
        <w:rPr>
          <w:rFonts w:ascii="Times New Roman" w:hAnsi="Times New Roman" w:cs="Times New Roman"/>
          <w:b/>
          <w:sz w:val="24"/>
        </w:rPr>
        <w:t>Contra-indications:</w:t>
      </w:r>
      <w:r w:rsidR="00DD1183" w:rsidRPr="003E5B6B">
        <w:rPr>
          <w:rFonts w:ascii="Times New Roman" w:hAnsi="Times New Roman" w:cs="Times New Roman"/>
          <w:sz w:val="24"/>
        </w:rPr>
        <w:t xml:space="preserve"> Hypersensitivity to diltiazem or to any of the excipients. Sick sinus syndrome, 2</w:t>
      </w:r>
      <w:r w:rsidR="00DD1183" w:rsidRPr="003E5B6B">
        <w:rPr>
          <w:rFonts w:ascii="Times New Roman" w:hAnsi="Times New Roman" w:cs="Times New Roman"/>
          <w:sz w:val="24"/>
          <w:vertAlign w:val="superscript"/>
        </w:rPr>
        <w:t>nd</w:t>
      </w:r>
      <w:r w:rsidR="00DD1183" w:rsidRPr="003E5B6B">
        <w:rPr>
          <w:rFonts w:ascii="Times New Roman" w:hAnsi="Times New Roman" w:cs="Times New Roman"/>
          <w:sz w:val="24"/>
        </w:rPr>
        <w:t xml:space="preserve"> or 3</w:t>
      </w:r>
      <w:r w:rsidR="00DD1183" w:rsidRPr="003E5B6B">
        <w:rPr>
          <w:rFonts w:ascii="Times New Roman" w:hAnsi="Times New Roman" w:cs="Times New Roman"/>
          <w:sz w:val="24"/>
          <w:vertAlign w:val="superscript"/>
        </w:rPr>
        <w:t>rd</w:t>
      </w:r>
      <w:r w:rsidR="00DD1183" w:rsidRPr="003E5B6B">
        <w:rPr>
          <w:rFonts w:ascii="Times New Roman" w:hAnsi="Times New Roman" w:cs="Times New Roman"/>
          <w:sz w:val="24"/>
        </w:rPr>
        <w:t xml:space="preserve"> degree </w:t>
      </w:r>
      <w:r w:rsidR="003E5B6B" w:rsidRPr="003E5B6B">
        <w:rPr>
          <w:rFonts w:ascii="Times New Roman" w:hAnsi="Times New Roman" w:cs="Times New Roman"/>
        </w:rPr>
        <w:t>atrioventricular (</w:t>
      </w:r>
      <w:r w:rsidR="00DD1183" w:rsidRPr="003E5B6B">
        <w:rPr>
          <w:rFonts w:ascii="Times New Roman" w:hAnsi="Times New Roman" w:cs="Times New Roman"/>
          <w:sz w:val="24"/>
        </w:rPr>
        <w:t>AV</w:t>
      </w:r>
      <w:r w:rsidR="003E5B6B">
        <w:rPr>
          <w:rFonts w:ascii="Times New Roman" w:hAnsi="Times New Roman" w:cs="Times New Roman"/>
          <w:sz w:val="24"/>
        </w:rPr>
        <w:t>)</w:t>
      </w:r>
      <w:r w:rsidR="00DD1183" w:rsidRPr="003E5B6B">
        <w:rPr>
          <w:rFonts w:ascii="Times New Roman" w:hAnsi="Times New Roman" w:cs="Times New Roman"/>
          <w:sz w:val="24"/>
        </w:rPr>
        <w:t xml:space="preserve"> block in patients without a functioning pacemaker. Severe bradycardia (less than 50 bpm). Left ventricular failure with pulmonary stasis. Decompensated cardiac failure. Lactation. Concurrent use with dantrolene infusion. Combination with ivabradine. </w:t>
      </w:r>
      <w:r w:rsidR="00DD1183" w:rsidRPr="003E5B6B">
        <w:rPr>
          <w:rFonts w:ascii="Times New Roman" w:hAnsi="Times New Roman" w:cs="Times New Roman"/>
          <w:b/>
          <w:sz w:val="24"/>
        </w:rPr>
        <w:t>Warnings and precautions:</w:t>
      </w:r>
      <w:r w:rsidR="00DD1183" w:rsidRPr="003E5B6B">
        <w:rPr>
          <w:rFonts w:ascii="Times New Roman" w:hAnsi="Times New Roman" w:cs="Times New Roman"/>
          <w:sz w:val="24"/>
        </w:rPr>
        <w:t xml:space="preserve"> </w:t>
      </w:r>
      <w:r w:rsidR="003E5B6B" w:rsidRPr="003E5B6B">
        <w:rPr>
          <w:rFonts w:ascii="Times New Roman" w:hAnsi="Times New Roman" w:cs="Times New Roman"/>
          <w:sz w:val="24"/>
        </w:rPr>
        <w:t xml:space="preserve">Closely monitor patients with reduced left ventricular function, </w:t>
      </w:r>
      <w:r w:rsidR="00942339">
        <w:rPr>
          <w:rFonts w:ascii="Times New Roman" w:hAnsi="Times New Roman" w:cs="Times New Roman"/>
          <w:sz w:val="24"/>
        </w:rPr>
        <w:t>b</w:t>
      </w:r>
      <w:r w:rsidR="003E5B6B" w:rsidRPr="003E5B6B">
        <w:rPr>
          <w:rFonts w:ascii="Times New Roman" w:hAnsi="Times New Roman" w:cs="Times New Roman"/>
          <w:sz w:val="24"/>
        </w:rPr>
        <w:t>radycardia or with a 1</w:t>
      </w:r>
      <w:r w:rsidR="003E5B6B" w:rsidRPr="003E5B6B">
        <w:rPr>
          <w:rFonts w:ascii="Times New Roman" w:hAnsi="Times New Roman" w:cs="Times New Roman"/>
          <w:sz w:val="24"/>
          <w:vertAlign w:val="superscript"/>
        </w:rPr>
        <w:t>st</w:t>
      </w:r>
      <w:r w:rsidR="003E5B6B" w:rsidRPr="003E5B6B">
        <w:rPr>
          <w:rFonts w:ascii="Times New Roman" w:hAnsi="Times New Roman" w:cs="Times New Roman"/>
          <w:sz w:val="24"/>
        </w:rPr>
        <w:t xml:space="preserve"> </w:t>
      </w:r>
      <w:r w:rsidR="003E5B6B">
        <w:rPr>
          <w:rFonts w:ascii="Times New Roman" w:hAnsi="Times New Roman" w:cs="Times New Roman"/>
          <w:sz w:val="24"/>
        </w:rPr>
        <w:t>degree AV block or prolonge</w:t>
      </w:r>
      <w:r w:rsidR="00942339">
        <w:rPr>
          <w:rFonts w:ascii="Times New Roman" w:hAnsi="Times New Roman" w:cs="Times New Roman"/>
          <w:sz w:val="24"/>
        </w:rPr>
        <w:t xml:space="preserve">d PR interval on the electrocardiogram (risk of exacerbation and rarely, of complete block). Increase of plasma concentrations of diltiazem may be observed in the elderly and patients with renal or </w:t>
      </w:r>
      <w:r w:rsidR="0057109E">
        <w:rPr>
          <w:rFonts w:ascii="Times New Roman" w:hAnsi="Times New Roman" w:cs="Times New Roman"/>
          <w:sz w:val="24"/>
        </w:rPr>
        <w:t>hepatic insufficiency</w:t>
      </w:r>
      <w:r w:rsidR="00942339">
        <w:rPr>
          <w:rFonts w:ascii="Times New Roman" w:hAnsi="Times New Roman" w:cs="Times New Roman"/>
          <w:sz w:val="24"/>
        </w:rPr>
        <w:t xml:space="preserve">. </w:t>
      </w:r>
      <w:r w:rsidR="007C453D">
        <w:rPr>
          <w:rFonts w:ascii="Times New Roman" w:hAnsi="Times New Roman" w:cs="Times New Roman"/>
          <w:sz w:val="24"/>
        </w:rPr>
        <w:t xml:space="preserve">In the case of general anaesthesia, the anaesthetist must be informed that the patient is </w:t>
      </w:r>
      <w:r w:rsidR="00CD1901">
        <w:rPr>
          <w:rFonts w:ascii="Times New Roman" w:hAnsi="Times New Roman" w:cs="Times New Roman"/>
          <w:sz w:val="24"/>
        </w:rPr>
        <w:t>taking diltiazem</w:t>
      </w:r>
      <w:r w:rsidR="007C453D">
        <w:rPr>
          <w:rFonts w:ascii="Times New Roman" w:hAnsi="Times New Roman" w:cs="Times New Roman"/>
          <w:sz w:val="24"/>
        </w:rPr>
        <w:t xml:space="preserve">. </w:t>
      </w:r>
      <w:r w:rsidR="000D7354">
        <w:rPr>
          <w:rFonts w:ascii="Times New Roman" w:hAnsi="Times New Roman" w:cs="Times New Roman"/>
          <w:sz w:val="24"/>
        </w:rPr>
        <w:t xml:space="preserve">Treatment with diltiazem may be associated with mood changes, including depression. In such cases, drug discontinuation should be considered. </w:t>
      </w:r>
      <w:r w:rsidR="00502394">
        <w:rPr>
          <w:rFonts w:ascii="Times New Roman" w:hAnsi="Times New Roman" w:cs="Times New Roman"/>
          <w:sz w:val="24"/>
        </w:rPr>
        <w:t xml:space="preserve">Use with caution in patients at risk of developing an intestinal obstruction, as diltiazem has an inhibitory effect on intestinal motility. Carefully monitor patients with latent or manifest diabetes mellitus due to a possible increase in blood glucose. The use of diltiazem may induce bronchospasm, including asthma aggravation, especially in patients with pre-existing bronchial hyper-reactivity. Monitor patients for signs and symptoms of respiratory impairment. </w:t>
      </w:r>
      <w:r w:rsidR="002635AB">
        <w:rPr>
          <w:rFonts w:ascii="Times New Roman" w:hAnsi="Times New Roman" w:cs="Times New Roman"/>
          <w:sz w:val="24"/>
        </w:rPr>
        <w:t xml:space="preserve">Diltiazem is considered unsafe in patients with acute porphyria. </w:t>
      </w:r>
      <w:r w:rsidR="009A1587">
        <w:rPr>
          <w:rFonts w:ascii="Times New Roman" w:hAnsi="Times New Roman" w:cs="Times New Roman"/>
          <w:sz w:val="24"/>
        </w:rPr>
        <w:t xml:space="preserve">Residues from slow release formulations of the product may pass into the patient’s stools. </w:t>
      </w:r>
      <w:r w:rsidR="009A1587">
        <w:rPr>
          <w:rFonts w:ascii="Times New Roman" w:hAnsi="Times New Roman" w:cs="Times New Roman"/>
          <w:b/>
          <w:sz w:val="24"/>
        </w:rPr>
        <w:t>Interactions:</w:t>
      </w:r>
      <w:r w:rsidR="00AF3969">
        <w:rPr>
          <w:rFonts w:ascii="Times New Roman" w:hAnsi="Times New Roman" w:cs="Times New Roman"/>
          <w:b/>
          <w:sz w:val="24"/>
        </w:rPr>
        <w:t xml:space="preserve"> Refer to SPC for full information.</w:t>
      </w:r>
      <w:r w:rsidR="00AF3969">
        <w:rPr>
          <w:rFonts w:ascii="Times New Roman" w:hAnsi="Times New Roman" w:cs="Times New Roman"/>
          <w:b/>
          <w:i/>
          <w:sz w:val="24"/>
        </w:rPr>
        <w:t xml:space="preserve"> </w:t>
      </w:r>
      <w:r w:rsidR="00AF3969" w:rsidRPr="00C31E62">
        <w:rPr>
          <w:rFonts w:ascii="Times New Roman" w:hAnsi="Times New Roman" w:cs="Times New Roman"/>
          <w:i/>
          <w:sz w:val="24"/>
        </w:rPr>
        <w:t>Combinations contraindicated for safety reasons</w:t>
      </w:r>
      <w:r w:rsidR="00AF3969">
        <w:rPr>
          <w:rFonts w:ascii="Times New Roman" w:hAnsi="Times New Roman" w:cs="Times New Roman"/>
          <w:sz w:val="24"/>
        </w:rPr>
        <w:t xml:space="preserve">: Dantrolene (infusion); Ivabradine. </w:t>
      </w:r>
      <w:r w:rsidR="00AF3969" w:rsidRPr="00C31E62">
        <w:rPr>
          <w:rFonts w:ascii="Times New Roman" w:hAnsi="Times New Roman" w:cs="Times New Roman"/>
          <w:i/>
          <w:sz w:val="24"/>
        </w:rPr>
        <w:t>Combinations requiring caution</w:t>
      </w:r>
      <w:r w:rsidR="00AF3969">
        <w:rPr>
          <w:rFonts w:ascii="Times New Roman" w:hAnsi="Times New Roman" w:cs="Times New Roman"/>
          <w:sz w:val="24"/>
        </w:rPr>
        <w:t>:</w:t>
      </w:r>
      <w:r w:rsidR="00AF3969" w:rsidRPr="00C31E62">
        <w:rPr>
          <w:rFonts w:ascii="Times New Roman" w:hAnsi="Times New Roman" w:cs="Times New Roman"/>
          <w:sz w:val="24"/>
        </w:rPr>
        <w:t xml:space="preserve"> Alpha-antagonists; beta-blockers; amiodarone, digoxin; antiar</w:t>
      </w:r>
      <w:r w:rsidR="00AF3969">
        <w:rPr>
          <w:rFonts w:ascii="Times New Roman" w:hAnsi="Times New Roman" w:cs="Times New Roman"/>
          <w:sz w:val="24"/>
        </w:rPr>
        <w:t>rhythmic agents; nitrate derivatives; ciclosporin; phenytoin; x-ray contrast media; carbamazepine; theophylline; anti-H</w:t>
      </w:r>
      <w:r w:rsidR="00AF3969">
        <w:rPr>
          <w:rFonts w:ascii="Times New Roman" w:hAnsi="Times New Roman" w:cs="Times New Roman"/>
          <w:sz w:val="24"/>
        </w:rPr>
        <w:softHyphen/>
      </w:r>
      <w:r w:rsidR="00AF3969">
        <w:rPr>
          <w:rFonts w:ascii="Times New Roman" w:hAnsi="Times New Roman" w:cs="Times New Roman"/>
          <w:sz w:val="24"/>
          <w:vertAlign w:val="subscript"/>
        </w:rPr>
        <w:t>2</w:t>
      </w:r>
      <w:r w:rsidR="00AF3969">
        <w:rPr>
          <w:rFonts w:ascii="Times New Roman" w:hAnsi="Times New Roman" w:cs="Times New Roman"/>
          <w:sz w:val="24"/>
        </w:rPr>
        <w:t xml:space="preserve"> agents (cimetidine and ranitidine); rifampicin; lithium; antiplatelet drugs. </w:t>
      </w:r>
      <w:r w:rsidR="00AF3969" w:rsidRPr="00C31E62">
        <w:rPr>
          <w:rFonts w:ascii="Times New Roman" w:hAnsi="Times New Roman" w:cs="Times New Roman"/>
          <w:i/>
          <w:sz w:val="24"/>
        </w:rPr>
        <w:t xml:space="preserve">Combinations to be </w:t>
      </w:r>
      <w:proofErr w:type="gramStart"/>
      <w:r w:rsidR="00AF3969" w:rsidRPr="00C31E62">
        <w:rPr>
          <w:rFonts w:ascii="Times New Roman" w:hAnsi="Times New Roman" w:cs="Times New Roman"/>
          <w:i/>
          <w:sz w:val="24"/>
        </w:rPr>
        <w:t>taken into account</w:t>
      </w:r>
      <w:proofErr w:type="gramEnd"/>
      <w:r w:rsidR="00AF3969">
        <w:rPr>
          <w:rFonts w:ascii="Times New Roman" w:hAnsi="Times New Roman" w:cs="Times New Roman"/>
          <w:sz w:val="24"/>
        </w:rPr>
        <w:t xml:space="preserve">: </w:t>
      </w:r>
      <w:r w:rsidR="00C91051" w:rsidRPr="00C91051">
        <w:rPr>
          <w:rFonts w:ascii="Times New Roman" w:hAnsi="Times New Roman" w:cs="Times New Roman"/>
          <w:sz w:val="24"/>
          <w:szCs w:val="24"/>
        </w:rPr>
        <w:t xml:space="preserve">Diltiazem is metabolised by </w:t>
      </w:r>
      <w:r w:rsidR="00C91051" w:rsidRPr="00C91051">
        <w:rPr>
          <w:rFonts w:ascii="Times New Roman" w:hAnsi="Times New Roman" w:cs="Times New Roman"/>
          <w:sz w:val="24"/>
          <w:szCs w:val="24"/>
          <w:lang w:val="en"/>
        </w:rPr>
        <w:t xml:space="preserve">CYP3A4. A moderate (less than 2-fold) increase of diltiazem plasma concentration in cases of co-administration with a stronger CYP3A4 inhibitor has been documented. Grapefruit juice may increase diltiazem </w:t>
      </w:r>
      <w:r w:rsidR="00C91051" w:rsidRPr="00C91051">
        <w:rPr>
          <w:rFonts w:ascii="Times New Roman" w:hAnsi="Times New Roman" w:cs="Times New Roman"/>
          <w:sz w:val="24"/>
          <w:szCs w:val="24"/>
          <w:lang w:val="en"/>
        </w:rPr>
        <w:t>exposure;</w:t>
      </w:r>
      <w:r w:rsidR="00C91051" w:rsidRPr="00C91051">
        <w:rPr>
          <w:rFonts w:ascii="Times New Roman" w:hAnsi="Times New Roman" w:cs="Times New Roman"/>
          <w:sz w:val="24"/>
          <w:szCs w:val="24"/>
          <w:lang w:val="en"/>
        </w:rPr>
        <w:t xml:space="preserve"> therefore</w:t>
      </w:r>
      <w:r w:rsidR="00C91051">
        <w:rPr>
          <w:rFonts w:ascii="Times New Roman" w:hAnsi="Times New Roman" w:cs="Times New Roman"/>
          <w:sz w:val="24"/>
          <w:szCs w:val="24"/>
          <w:lang w:val="en"/>
        </w:rPr>
        <w:t xml:space="preserve">, </w:t>
      </w:r>
      <w:r w:rsidR="00C91051" w:rsidRPr="00C91051">
        <w:rPr>
          <w:rFonts w:ascii="Times New Roman" w:hAnsi="Times New Roman" w:cs="Times New Roman"/>
          <w:sz w:val="24"/>
          <w:szCs w:val="24"/>
          <w:lang w:val="en"/>
        </w:rPr>
        <w:t xml:space="preserve">grapefruit juice should be avoided if an interaction is suspected. Diltiazem is also a CYP3A4 isoform inhibitor. Co-administration with other CYP3A4 substrates may result in an increase in plasma concentration of either co-administered drug. Co-administration of diltiazem with a CYP3A4 inducer may result in a decrease of </w:t>
      </w:r>
      <w:r w:rsidR="00C91051" w:rsidRPr="00C91051">
        <w:rPr>
          <w:rFonts w:ascii="Times New Roman" w:hAnsi="Times New Roman" w:cs="Times New Roman"/>
          <w:sz w:val="24"/>
          <w:szCs w:val="24"/>
          <w:lang w:val="en"/>
        </w:rPr>
        <w:lastRenderedPageBreak/>
        <w:t>diltiazem plasma concentrations.</w:t>
      </w:r>
      <w:r w:rsidR="00C91051">
        <w:rPr>
          <w:lang w:val="en"/>
        </w:rPr>
        <w:t xml:space="preserve"> </w:t>
      </w:r>
      <w:r w:rsidR="00AF3969">
        <w:rPr>
          <w:rFonts w:ascii="Times New Roman" w:hAnsi="Times New Roman" w:cs="Times New Roman"/>
          <w:sz w:val="24"/>
        </w:rPr>
        <w:t xml:space="preserve">Statins; cilostazol; benzodiazepines (midazolam, triazolam); corticosteroids (methylprednisolone). </w:t>
      </w:r>
      <w:r w:rsidR="00AF3969">
        <w:rPr>
          <w:rFonts w:ascii="Times New Roman" w:hAnsi="Times New Roman" w:cs="Times New Roman"/>
          <w:i/>
          <w:sz w:val="24"/>
        </w:rPr>
        <w:t>General information to be taken into account:</w:t>
      </w:r>
      <w:r w:rsidR="00AF3969">
        <w:rPr>
          <w:rFonts w:ascii="Times New Roman" w:hAnsi="Times New Roman" w:cs="Times New Roman"/>
          <w:sz w:val="24"/>
        </w:rPr>
        <w:t xml:space="preserve"> </w:t>
      </w:r>
      <w:r w:rsidR="00013742">
        <w:rPr>
          <w:rFonts w:ascii="Times New Roman" w:hAnsi="Times New Roman" w:cs="Times New Roman"/>
          <w:sz w:val="24"/>
        </w:rPr>
        <w:t xml:space="preserve">Caution and careful titration are necessary in patients receiving diltiazem concomitantly with other agents known to affect cardiac contractility and or/ conduction due to the potential for additive effects. </w:t>
      </w:r>
      <w:proofErr w:type="spellStart"/>
      <w:r w:rsidR="00013742">
        <w:rPr>
          <w:rFonts w:ascii="Times New Roman" w:hAnsi="Times New Roman" w:cs="Times New Roman"/>
          <w:sz w:val="24"/>
        </w:rPr>
        <w:t>Angitil</w:t>
      </w:r>
      <w:proofErr w:type="spellEnd"/>
      <w:r w:rsidR="00013742">
        <w:rPr>
          <w:rFonts w:ascii="Times New Roman" w:hAnsi="Times New Roman" w:cs="Times New Roman"/>
          <w:sz w:val="24"/>
        </w:rPr>
        <w:t xml:space="preserve"> should not be taken at the same time as alcohol, as it may increase dose-dependent effects and lead to potential adverse pharmacodynamic interactions. </w:t>
      </w:r>
      <w:r w:rsidR="00AF3969">
        <w:rPr>
          <w:rFonts w:ascii="Times New Roman" w:hAnsi="Times New Roman" w:cs="Times New Roman"/>
          <w:b/>
          <w:sz w:val="24"/>
        </w:rPr>
        <w:t xml:space="preserve">Effects on ability to drive and use machines: </w:t>
      </w:r>
      <w:proofErr w:type="gramStart"/>
      <w:r w:rsidR="00AF3969">
        <w:rPr>
          <w:rFonts w:ascii="Times New Roman" w:hAnsi="Times New Roman" w:cs="Times New Roman"/>
          <w:sz w:val="24"/>
        </w:rPr>
        <w:t>On the basis of</w:t>
      </w:r>
      <w:proofErr w:type="gramEnd"/>
      <w:r w:rsidR="00AF3969">
        <w:rPr>
          <w:rFonts w:ascii="Times New Roman" w:hAnsi="Times New Roman" w:cs="Times New Roman"/>
          <w:sz w:val="24"/>
        </w:rPr>
        <w:t xml:space="preserve"> reported adverse drug reactions, i.e. dizziness (common), malaise (common), the ability to drive and use machines could be altered. However, no studies have been performed. </w:t>
      </w:r>
      <w:r w:rsidR="00013742">
        <w:rPr>
          <w:rFonts w:ascii="Times New Roman" w:hAnsi="Times New Roman" w:cs="Times New Roman"/>
          <w:b/>
          <w:sz w:val="24"/>
        </w:rPr>
        <w:t>Pregnancy and lactation:</w:t>
      </w:r>
      <w:r w:rsidR="00013742">
        <w:rPr>
          <w:rFonts w:ascii="Times New Roman" w:hAnsi="Times New Roman" w:cs="Times New Roman"/>
          <w:sz w:val="24"/>
        </w:rPr>
        <w:t xml:space="preserve">  </w:t>
      </w:r>
      <w:r w:rsidR="00013742">
        <w:rPr>
          <w:rFonts w:ascii="Times New Roman" w:hAnsi="Times New Roman" w:cs="Times New Roman"/>
          <w:i/>
          <w:sz w:val="24"/>
        </w:rPr>
        <w:t>Pregnancy:</w:t>
      </w:r>
      <w:r w:rsidR="00013742">
        <w:rPr>
          <w:rFonts w:ascii="Times New Roman" w:hAnsi="Times New Roman" w:cs="Times New Roman"/>
          <w:sz w:val="24"/>
        </w:rPr>
        <w:t xml:space="preserve"> Not recommended, as well as in women of child-bearing potential not using effective contraception. </w:t>
      </w:r>
      <w:r w:rsidR="00013742">
        <w:rPr>
          <w:rFonts w:ascii="Times New Roman" w:hAnsi="Times New Roman" w:cs="Times New Roman"/>
          <w:i/>
          <w:sz w:val="24"/>
        </w:rPr>
        <w:t>Breast feeding:</w:t>
      </w:r>
      <w:r w:rsidR="00013742">
        <w:rPr>
          <w:rFonts w:ascii="Times New Roman" w:hAnsi="Times New Roman" w:cs="Times New Roman"/>
          <w:sz w:val="24"/>
        </w:rPr>
        <w:t xml:space="preserve"> As this drug is excreted in breast milk, breast feeding is contraindicated. </w:t>
      </w:r>
      <w:r w:rsidR="00013742">
        <w:rPr>
          <w:rFonts w:ascii="Times New Roman" w:hAnsi="Times New Roman" w:cs="Times New Roman"/>
          <w:b/>
          <w:sz w:val="24"/>
        </w:rPr>
        <w:t xml:space="preserve">Side effects: Refer to SmPC for full list. </w:t>
      </w:r>
      <w:r w:rsidR="00013742">
        <w:rPr>
          <w:rFonts w:ascii="Times New Roman" w:hAnsi="Times New Roman" w:cs="Times New Roman"/>
          <w:sz w:val="24"/>
        </w:rPr>
        <w:t>Very common</w:t>
      </w:r>
      <w:r w:rsidR="00C91051">
        <w:rPr>
          <w:rFonts w:ascii="Times New Roman" w:hAnsi="Times New Roman" w:cs="Times New Roman"/>
          <w:sz w:val="24"/>
        </w:rPr>
        <w:t xml:space="preserve"> (≥1/10)</w:t>
      </w:r>
      <w:r w:rsidR="00013742">
        <w:rPr>
          <w:rFonts w:ascii="Times New Roman" w:hAnsi="Times New Roman" w:cs="Times New Roman"/>
          <w:sz w:val="24"/>
        </w:rPr>
        <w:t>: Peripheral oedema. Common</w:t>
      </w:r>
      <w:r w:rsidR="00C91051">
        <w:rPr>
          <w:rFonts w:ascii="Times New Roman" w:hAnsi="Times New Roman" w:cs="Times New Roman"/>
          <w:sz w:val="24"/>
        </w:rPr>
        <w:t xml:space="preserve"> (≥1/100 to &lt;1/10)</w:t>
      </w:r>
      <w:r w:rsidR="00013742">
        <w:rPr>
          <w:rFonts w:ascii="Times New Roman" w:hAnsi="Times New Roman" w:cs="Times New Roman"/>
          <w:sz w:val="24"/>
        </w:rPr>
        <w:t xml:space="preserve">: </w:t>
      </w:r>
      <w:proofErr w:type="spellStart"/>
      <w:r w:rsidR="00013742">
        <w:rPr>
          <w:rFonts w:ascii="Times New Roman" w:hAnsi="Times New Roman" w:cs="Times New Roman"/>
          <w:sz w:val="24"/>
        </w:rPr>
        <w:t>Atrio</w:t>
      </w:r>
      <w:proofErr w:type="spellEnd"/>
      <w:r w:rsidR="00013742">
        <w:rPr>
          <w:rFonts w:ascii="Times New Roman" w:hAnsi="Times New Roman" w:cs="Times New Roman"/>
          <w:sz w:val="24"/>
        </w:rPr>
        <w:t xml:space="preserve">-ventricular block (may be of first, second or third degree; bundle branch block may occur); palpitations; flushing; constipation; dyspepsia; gastric pain; nausea; erythema; headache; dizziness; malaise. </w:t>
      </w:r>
      <w:r w:rsidR="00013742">
        <w:rPr>
          <w:rFonts w:ascii="Times New Roman" w:hAnsi="Times New Roman" w:cs="Times New Roman"/>
          <w:b/>
          <w:sz w:val="24"/>
        </w:rPr>
        <w:t xml:space="preserve">Overdose: </w:t>
      </w:r>
      <w:r w:rsidR="00013742">
        <w:rPr>
          <w:rFonts w:ascii="Times New Roman" w:hAnsi="Times New Roman" w:cs="Times New Roman"/>
          <w:sz w:val="24"/>
        </w:rPr>
        <w:t xml:space="preserve">See SPC for management guidance. </w:t>
      </w:r>
      <w:r w:rsidR="00013742">
        <w:rPr>
          <w:rFonts w:ascii="Times New Roman" w:hAnsi="Times New Roman" w:cs="Times New Roman"/>
          <w:b/>
          <w:sz w:val="24"/>
        </w:rPr>
        <w:t>Marketing Authorisation Numbers and Basi</w:t>
      </w:r>
      <w:bookmarkStart w:id="0" w:name="_GoBack"/>
      <w:bookmarkEnd w:id="0"/>
      <w:r w:rsidR="00013742">
        <w:rPr>
          <w:rFonts w:ascii="Times New Roman" w:hAnsi="Times New Roman" w:cs="Times New Roman"/>
          <w:b/>
          <w:sz w:val="24"/>
        </w:rPr>
        <w:t>c NHS Price:</w:t>
      </w:r>
      <w:r w:rsidR="00013742">
        <w:rPr>
          <w:rFonts w:ascii="Times New Roman" w:hAnsi="Times New Roman" w:cs="Times New Roman"/>
          <w:sz w:val="24"/>
        </w:rPr>
        <w:t xml:space="preserve"> </w:t>
      </w:r>
      <w:r w:rsidR="00552C6B">
        <w:rPr>
          <w:rFonts w:ascii="Times New Roman" w:hAnsi="Times New Roman" w:cs="Times New Roman"/>
          <w:sz w:val="24"/>
        </w:rPr>
        <w:t>SR capsules are sold in a pack size of 56 and XL</w:t>
      </w:r>
      <w:r w:rsidR="00073E3D">
        <w:rPr>
          <w:rFonts w:ascii="Times New Roman" w:hAnsi="Times New Roman" w:cs="Times New Roman"/>
          <w:sz w:val="24"/>
        </w:rPr>
        <w:t xml:space="preserve"> </w:t>
      </w:r>
      <w:r w:rsidR="00552C6B">
        <w:rPr>
          <w:rFonts w:ascii="Times New Roman" w:hAnsi="Times New Roman" w:cs="Times New Roman"/>
          <w:sz w:val="24"/>
        </w:rPr>
        <w:t xml:space="preserve">capsules are sold in a pack size of 28. </w:t>
      </w:r>
      <w:proofErr w:type="spellStart"/>
      <w:r w:rsidR="00013742">
        <w:rPr>
          <w:rFonts w:ascii="Times New Roman" w:hAnsi="Times New Roman" w:cs="Times New Roman"/>
          <w:sz w:val="24"/>
        </w:rPr>
        <w:t>Angitil</w:t>
      </w:r>
      <w:proofErr w:type="spellEnd"/>
      <w:r w:rsidR="00013742">
        <w:rPr>
          <w:rFonts w:ascii="Times New Roman" w:hAnsi="Times New Roman" w:cs="Times New Roman"/>
          <w:sz w:val="24"/>
        </w:rPr>
        <w:t xml:space="preserve"> SR 90 mg PL 06934/0195 - </w:t>
      </w:r>
      <w:r w:rsidR="00552C6B">
        <w:rPr>
          <w:rFonts w:ascii="Times New Roman" w:hAnsi="Times New Roman" w:cs="Times New Roman"/>
          <w:sz w:val="24"/>
        </w:rPr>
        <w:t xml:space="preserve">£7.03; </w:t>
      </w:r>
      <w:proofErr w:type="spellStart"/>
      <w:r w:rsidR="00013742">
        <w:rPr>
          <w:rFonts w:ascii="Times New Roman" w:hAnsi="Times New Roman" w:cs="Times New Roman"/>
          <w:sz w:val="24"/>
        </w:rPr>
        <w:t>Angitil</w:t>
      </w:r>
      <w:proofErr w:type="spellEnd"/>
      <w:r w:rsidR="00013742">
        <w:rPr>
          <w:rFonts w:ascii="Times New Roman" w:hAnsi="Times New Roman" w:cs="Times New Roman"/>
          <w:sz w:val="24"/>
        </w:rPr>
        <w:t xml:space="preserve"> SR 120 mg PL 06934/019</w:t>
      </w:r>
      <w:r w:rsidR="00552C6B">
        <w:rPr>
          <w:rFonts w:ascii="Times New Roman" w:hAnsi="Times New Roman" w:cs="Times New Roman"/>
          <w:sz w:val="24"/>
        </w:rPr>
        <w:t>6</w:t>
      </w:r>
      <w:r w:rsidR="00013742">
        <w:rPr>
          <w:rFonts w:ascii="Times New Roman" w:hAnsi="Times New Roman" w:cs="Times New Roman"/>
          <w:sz w:val="24"/>
        </w:rPr>
        <w:t xml:space="preserve"> -</w:t>
      </w:r>
      <w:r w:rsidR="00552C6B">
        <w:rPr>
          <w:rFonts w:ascii="Times New Roman" w:hAnsi="Times New Roman" w:cs="Times New Roman"/>
          <w:sz w:val="24"/>
        </w:rPr>
        <w:t xml:space="preserve"> £6.91;</w:t>
      </w:r>
      <w:r w:rsidR="00552C6B" w:rsidRPr="00552C6B">
        <w:rPr>
          <w:rFonts w:ascii="Times New Roman" w:hAnsi="Times New Roman" w:cs="Times New Roman"/>
          <w:sz w:val="24"/>
        </w:rPr>
        <w:t xml:space="preserve"> </w:t>
      </w:r>
      <w:proofErr w:type="spellStart"/>
      <w:r w:rsidR="00552C6B">
        <w:rPr>
          <w:rFonts w:ascii="Times New Roman" w:hAnsi="Times New Roman" w:cs="Times New Roman"/>
          <w:sz w:val="24"/>
        </w:rPr>
        <w:t>Angitil</w:t>
      </w:r>
      <w:proofErr w:type="spellEnd"/>
      <w:r w:rsidR="00552C6B">
        <w:rPr>
          <w:rFonts w:ascii="Times New Roman" w:hAnsi="Times New Roman" w:cs="Times New Roman"/>
          <w:sz w:val="24"/>
        </w:rPr>
        <w:t xml:space="preserve"> SR 180 mg PL 06934/0197 - £13.27; </w:t>
      </w:r>
      <w:proofErr w:type="spellStart"/>
      <w:r w:rsidR="00552C6B">
        <w:rPr>
          <w:rFonts w:ascii="Times New Roman" w:hAnsi="Times New Roman" w:cs="Times New Roman"/>
          <w:sz w:val="24"/>
        </w:rPr>
        <w:t>Angitil</w:t>
      </w:r>
      <w:proofErr w:type="spellEnd"/>
      <w:r w:rsidR="00552C6B">
        <w:rPr>
          <w:rFonts w:ascii="Times New Roman" w:hAnsi="Times New Roman" w:cs="Times New Roman"/>
          <w:sz w:val="24"/>
        </w:rPr>
        <w:t xml:space="preserve"> XL 240 mg PL 06934/0198 - £7.94; </w:t>
      </w:r>
      <w:proofErr w:type="spellStart"/>
      <w:r w:rsidR="00552C6B">
        <w:rPr>
          <w:rFonts w:ascii="Times New Roman" w:hAnsi="Times New Roman" w:cs="Times New Roman"/>
          <w:sz w:val="24"/>
        </w:rPr>
        <w:t>Angitil</w:t>
      </w:r>
      <w:proofErr w:type="spellEnd"/>
      <w:r w:rsidR="00552C6B">
        <w:rPr>
          <w:rFonts w:ascii="Times New Roman" w:hAnsi="Times New Roman" w:cs="Times New Roman"/>
          <w:sz w:val="24"/>
        </w:rPr>
        <w:t xml:space="preserve"> XL 300 mg PL 06934/0199 - £6.98. </w:t>
      </w:r>
      <w:r w:rsidR="00552C6B">
        <w:rPr>
          <w:rFonts w:ascii="Times New Roman" w:hAnsi="Times New Roman" w:cs="Times New Roman"/>
          <w:b/>
          <w:sz w:val="24"/>
        </w:rPr>
        <w:t>Product License Holder:</w:t>
      </w:r>
      <w:r w:rsidR="00552C6B">
        <w:rPr>
          <w:rFonts w:ascii="Times New Roman" w:hAnsi="Times New Roman" w:cs="Times New Roman"/>
          <w:sz w:val="24"/>
        </w:rPr>
        <w:t xml:space="preserve"> Ethypharm, 194 Bureaux de la </w:t>
      </w:r>
      <w:proofErr w:type="spellStart"/>
      <w:r w:rsidR="00552C6B">
        <w:rPr>
          <w:rFonts w:ascii="Times New Roman" w:hAnsi="Times New Roman" w:cs="Times New Roman"/>
          <w:sz w:val="24"/>
        </w:rPr>
        <w:t>Colline</w:t>
      </w:r>
      <w:proofErr w:type="spellEnd"/>
      <w:r w:rsidR="00552C6B">
        <w:rPr>
          <w:rFonts w:ascii="Times New Roman" w:hAnsi="Times New Roman" w:cs="Times New Roman"/>
          <w:sz w:val="24"/>
        </w:rPr>
        <w:t xml:space="preserve"> – </w:t>
      </w:r>
      <w:proofErr w:type="spellStart"/>
      <w:r w:rsidR="00552C6B">
        <w:rPr>
          <w:rFonts w:ascii="Times New Roman" w:hAnsi="Times New Roman" w:cs="Times New Roman"/>
          <w:sz w:val="24"/>
        </w:rPr>
        <w:t>Bâtiment</w:t>
      </w:r>
      <w:proofErr w:type="spellEnd"/>
      <w:r w:rsidR="00552C6B">
        <w:rPr>
          <w:rFonts w:ascii="Times New Roman" w:hAnsi="Times New Roman" w:cs="Times New Roman"/>
          <w:sz w:val="24"/>
        </w:rPr>
        <w:t xml:space="preserve"> D, 92213 Saint-Cloud Cedex, France. </w:t>
      </w:r>
      <w:r w:rsidR="00552C6B">
        <w:rPr>
          <w:rFonts w:ascii="Times New Roman" w:hAnsi="Times New Roman" w:cs="Times New Roman"/>
          <w:b/>
          <w:sz w:val="24"/>
        </w:rPr>
        <w:t>Legal Category:</w:t>
      </w:r>
      <w:r w:rsidR="00552C6B">
        <w:rPr>
          <w:rFonts w:ascii="Times New Roman" w:hAnsi="Times New Roman" w:cs="Times New Roman"/>
          <w:sz w:val="24"/>
        </w:rPr>
        <w:t xml:space="preserve"> POM. </w:t>
      </w:r>
      <w:r w:rsidR="00552C6B">
        <w:rPr>
          <w:rFonts w:ascii="Times New Roman" w:hAnsi="Times New Roman" w:cs="Times New Roman"/>
          <w:b/>
          <w:sz w:val="24"/>
        </w:rPr>
        <w:t xml:space="preserve">Date of Preparation: </w:t>
      </w:r>
      <w:r w:rsidR="00C91051">
        <w:rPr>
          <w:rFonts w:ascii="Times New Roman" w:hAnsi="Times New Roman" w:cs="Times New Roman"/>
          <w:sz w:val="24"/>
        </w:rPr>
        <w:t>December</w:t>
      </w:r>
      <w:r w:rsidR="00073E3D">
        <w:rPr>
          <w:rFonts w:ascii="Times New Roman" w:hAnsi="Times New Roman" w:cs="Times New Roman"/>
          <w:sz w:val="24"/>
        </w:rPr>
        <w:t xml:space="preserve"> </w:t>
      </w:r>
      <w:r w:rsidR="00552C6B">
        <w:rPr>
          <w:rFonts w:ascii="Times New Roman" w:hAnsi="Times New Roman" w:cs="Times New Roman"/>
          <w:sz w:val="24"/>
        </w:rPr>
        <w:t xml:space="preserve">2019. </w:t>
      </w:r>
      <w:r w:rsidR="00552C6B">
        <w:rPr>
          <w:rFonts w:ascii="Times New Roman" w:hAnsi="Times New Roman" w:cs="Times New Roman"/>
          <w:b/>
          <w:sz w:val="24"/>
        </w:rPr>
        <w:t xml:space="preserve"> </w:t>
      </w:r>
    </w:p>
    <w:p w:rsidR="00677428" w:rsidRPr="00DF6AA8" w:rsidRDefault="00552C6B" w:rsidP="00DF6AA8">
      <w:pPr>
        <w:pBdr>
          <w:top w:val="single" w:sz="4" w:space="1" w:color="auto"/>
          <w:left w:val="single" w:sz="4" w:space="4" w:color="auto"/>
          <w:bottom w:val="single" w:sz="4" w:space="1" w:color="auto"/>
          <w:right w:val="single" w:sz="4" w:space="4" w:color="auto"/>
        </w:pBdr>
        <w:jc w:val="center"/>
      </w:pPr>
      <w:r w:rsidRPr="00552C6B">
        <w:rPr>
          <w:rFonts w:ascii="Times New Roman" w:hAnsi="Times New Roman" w:cs="Times New Roman"/>
          <w:b/>
          <w:bCs/>
        </w:rPr>
        <w:t xml:space="preserve">Adverse events should be reported.  Reporting forms and information can be found at </w:t>
      </w:r>
      <w:hyperlink r:id="rId4" w:history="1">
        <w:r w:rsidR="00DF6AA8" w:rsidRPr="009F3D8F">
          <w:rPr>
            <w:rStyle w:val="Hyperlink"/>
            <w:rFonts w:ascii="Times New Roman" w:hAnsi="Times New Roman" w:cs="Times New Roman"/>
            <w:b/>
            <w:bCs/>
          </w:rPr>
          <w:t>www.mhra.gov.uk/yellowcard</w:t>
        </w:r>
      </w:hyperlink>
      <w:r w:rsidRPr="00552C6B">
        <w:rPr>
          <w:rFonts w:ascii="Times New Roman" w:hAnsi="Times New Roman" w:cs="Times New Roman"/>
          <w:b/>
          <w:bCs/>
        </w:rPr>
        <w:t xml:space="preserve">.  Adverse events should also be reported to </w:t>
      </w:r>
      <w:r>
        <w:rPr>
          <w:rFonts w:ascii="Times New Roman" w:hAnsi="Times New Roman" w:cs="Times New Roman"/>
          <w:b/>
          <w:bCs/>
        </w:rPr>
        <w:t xml:space="preserve">Martindale </w:t>
      </w:r>
      <w:r w:rsidRPr="00552C6B">
        <w:rPr>
          <w:rFonts w:ascii="Times New Roman" w:hAnsi="Times New Roman" w:cs="Times New Roman"/>
          <w:b/>
          <w:bCs/>
        </w:rPr>
        <w:t>Pharma, an Ethypharm Group Company. Tel: 01277 266 600. e-mail: drugsafety.uk@ethypharm.co</w:t>
      </w:r>
      <w:r w:rsidR="00DF6AA8">
        <w:rPr>
          <w:rFonts w:ascii="Times New Roman" w:hAnsi="Times New Roman" w:cs="Times New Roman"/>
          <w:b/>
          <w:bCs/>
        </w:rPr>
        <w:t>m</w:t>
      </w:r>
    </w:p>
    <w:sectPr w:rsidR="00677428" w:rsidRPr="00DF6A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25"/>
    <w:rsid w:val="00007125"/>
    <w:rsid w:val="00013742"/>
    <w:rsid w:val="00073E3D"/>
    <w:rsid w:val="0007629D"/>
    <w:rsid w:val="000A69C9"/>
    <w:rsid w:val="000D7354"/>
    <w:rsid w:val="000E4BFB"/>
    <w:rsid w:val="002000AD"/>
    <w:rsid w:val="00203A2E"/>
    <w:rsid w:val="002635AB"/>
    <w:rsid w:val="002A01FA"/>
    <w:rsid w:val="00354D33"/>
    <w:rsid w:val="003828AB"/>
    <w:rsid w:val="003E5B6B"/>
    <w:rsid w:val="003F7401"/>
    <w:rsid w:val="00502394"/>
    <w:rsid w:val="00552C6B"/>
    <w:rsid w:val="00556590"/>
    <w:rsid w:val="0057109E"/>
    <w:rsid w:val="005D3B76"/>
    <w:rsid w:val="005E260D"/>
    <w:rsid w:val="005E426C"/>
    <w:rsid w:val="00616AD4"/>
    <w:rsid w:val="00677428"/>
    <w:rsid w:val="006B2B16"/>
    <w:rsid w:val="007435EE"/>
    <w:rsid w:val="0074478E"/>
    <w:rsid w:val="007C453D"/>
    <w:rsid w:val="008408DF"/>
    <w:rsid w:val="008A1F0E"/>
    <w:rsid w:val="00923DE5"/>
    <w:rsid w:val="00942339"/>
    <w:rsid w:val="009A1587"/>
    <w:rsid w:val="00AB0E7D"/>
    <w:rsid w:val="00AF00F5"/>
    <w:rsid w:val="00AF3969"/>
    <w:rsid w:val="00B12645"/>
    <w:rsid w:val="00C31E62"/>
    <w:rsid w:val="00C91051"/>
    <w:rsid w:val="00CD1901"/>
    <w:rsid w:val="00DD1183"/>
    <w:rsid w:val="00DE4BB3"/>
    <w:rsid w:val="00DF6AA8"/>
    <w:rsid w:val="00E35D37"/>
    <w:rsid w:val="00F10935"/>
    <w:rsid w:val="00F6491E"/>
    <w:rsid w:val="00FE3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5C127"/>
  <w15:chartTrackingRefBased/>
  <w15:docId w15:val="{CC822AE7-2355-4B96-9AC2-FA26D6B1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52C6B"/>
    <w:rPr>
      <w:color w:val="0000FF"/>
      <w:u w:val="single"/>
    </w:rPr>
  </w:style>
  <w:style w:type="character" w:styleId="UnresolvedMention">
    <w:name w:val="Unresolved Mention"/>
    <w:basedOn w:val="DefaultParagraphFont"/>
    <w:uiPriority w:val="99"/>
    <w:semiHidden/>
    <w:unhideWhenUsed/>
    <w:rsid w:val="00DF6AA8"/>
    <w:rPr>
      <w:color w:val="605E5C"/>
      <w:shd w:val="clear" w:color="auto" w:fill="E1DFDD"/>
    </w:rPr>
  </w:style>
  <w:style w:type="paragraph" w:styleId="BalloonText">
    <w:name w:val="Balloon Text"/>
    <w:basedOn w:val="Normal"/>
    <w:link w:val="BalloonTextChar"/>
    <w:uiPriority w:val="99"/>
    <w:semiHidden/>
    <w:unhideWhenUsed/>
    <w:rsid w:val="00AF39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969"/>
    <w:rPr>
      <w:rFonts w:ascii="Segoe UI" w:hAnsi="Segoe UI" w:cs="Segoe UI"/>
      <w:sz w:val="18"/>
      <w:szCs w:val="18"/>
    </w:rPr>
  </w:style>
  <w:style w:type="paragraph" w:styleId="Revision">
    <w:name w:val="Revision"/>
    <w:hidden/>
    <w:uiPriority w:val="99"/>
    <w:semiHidden/>
    <w:rsid w:val="00C31E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hra.gov.uk/yellowc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Simran Marway</dc:creator>
  <cp:keywords/>
  <dc:description/>
  <cp:lastModifiedBy>Simran Marway</cp:lastModifiedBy>
  <cp:revision>2</cp:revision>
  <dcterms:created xsi:type="dcterms:W3CDTF">2019-12-17T14:24:00Z</dcterms:created>
  <dcterms:modified xsi:type="dcterms:W3CDTF">2019-12-17T14:24:00Z</dcterms:modified>
</cp:coreProperties>
</file>